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BAD33D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岗埠农场冷链物流园固化地坪施工参照标准</w:t>
      </w:r>
    </w:p>
    <w:p w14:paraId="39551040">
      <w:pPr>
        <w:rPr>
          <w:rFonts w:hint="eastAsia"/>
        </w:rPr>
      </w:pPr>
    </w:p>
    <w:p w14:paraId="47AED139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为满足岗埠农场冷链物流园生产运营需求，本次施工需满足如下标准：</w:t>
      </w:r>
    </w:p>
    <w:p w14:paraId="2088D4C5">
      <w:pPr>
        <w:ind w:firstLine="562" w:firstLineChars="200"/>
        <w:rPr>
          <w:rFonts w:hint="eastAsia"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一、规范文件</w:t>
      </w:r>
    </w:p>
    <w:p w14:paraId="2BA3FC1E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GB 50072—2021 冷库设计标准</w:t>
      </w:r>
    </w:p>
    <w:p w14:paraId="4CB164C5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GB 50209—2010 建筑地面工程施工质量验收规范</w:t>
      </w:r>
    </w:p>
    <w:p w14:paraId="69D94BFF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JC/T 2158—2021 渗透型液体硬化剂</w:t>
      </w:r>
    </w:p>
    <w:p w14:paraId="54DA70F0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JC/T 906—2002 混凝土地面用水泥基耐磨材料</w:t>
      </w:r>
    </w:p>
    <w:p w14:paraId="6E0638E2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JGJ/T 331—2014 建筑地面工程防滑技术规程</w:t>
      </w:r>
    </w:p>
    <w:p w14:paraId="57A69C39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CECS 328：2012 整体地坪工程技术规程</w:t>
      </w:r>
    </w:p>
    <w:p w14:paraId="0C038A04">
      <w:pPr>
        <w:ind w:firstLine="562" w:firstLineChars="200"/>
        <w:rPr>
          <w:rFonts w:hint="eastAsia"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二、材料要求</w:t>
      </w:r>
    </w:p>
    <w:p w14:paraId="3FDF6C4D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1.固化剂采用锂基成分，严禁使用钠基或钾基产品替代。产品性能须满足JC/T 2158—2021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相关</w:t>
      </w:r>
      <w:r>
        <w:rPr>
          <w:rFonts w:hint="eastAsia" w:asciiTheme="minorEastAsia" w:hAnsiTheme="minorEastAsia" w:eastAsiaTheme="minorEastAsia"/>
          <w:sz w:val="28"/>
          <w:szCs w:val="28"/>
        </w:rPr>
        <w:t>要求，无色、无味、不燃，VOC含量符合国家环保规定，氧化锂含量不低于4%。</w:t>
      </w:r>
    </w:p>
    <w:p w14:paraId="2F55334C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2.开面采用金刚石磨片，精磨采用树脂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磨</w:t>
      </w:r>
      <w:r>
        <w:rPr>
          <w:rFonts w:hint="eastAsia" w:asciiTheme="minorEastAsia" w:hAnsiTheme="minorEastAsia" w:eastAsiaTheme="minorEastAsia"/>
          <w:sz w:val="28"/>
          <w:szCs w:val="28"/>
        </w:rPr>
        <w:t>片。</w:t>
      </w:r>
    </w:p>
    <w:p w14:paraId="0BAA7DF7">
      <w:pPr>
        <w:ind w:firstLine="560" w:firstLineChars="200"/>
        <w:rPr>
          <w:rFonts w:hint="eastAsia"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3.施工用水为洁净自来水，不得含油污或有害杂质。所用配套材料须与锂基固化剂兼容，不得发生不良反应。</w:t>
      </w:r>
    </w:p>
    <w:p w14:paraId="1A50FE44">
      <w:pPr>
        <w:ind w:firstLine="562" w:firstLineChars="200"/>
        <w:rPr>
          <w:rFonts w:hint="eastAsia"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三、研磨与固化施工工艺要求</w:t>
      </w:r>
    </w:p>
    <w:p w14:paraId="703FB597">
      <w:pPr>
        <w:ind w:firstLine="560" w:firstLineChars="200"/>
        <w:rPr>
          <w:rFonts w:hint="eastAsia" w:asciiTheme="minorEastAsia" w:hAnsiTheme="minorEastAsia" w:eastAsia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eastAsiaTheme="minorEastAsia"/>
          <w:sz w:val="28"/>
          <w:szCs w:val="28"/>
        </w:rPr>
        <w:t>.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开面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lang w:val="en-US" w:eastAsia="zh-CN"/>
        </w:rPr>
        <w:t>研磨前需用适宜比例固化剂将地面浸泡充分（所需固化剂约1000-1200公斤，以实际为准），并辅以压浆等必要的相关工艺，确保地面达到研磨硬度标准后再进行研磨作业；原有地面如有破损，需先行修复再顺序作业，确保不影响以后使用。</w:t>
      </w:r>
    </w:p>
    <w:p w14:paraId="66BA597F">
      <w:pPr>
        <w:ind w:firstLine="560" w:firstLineChars="200"/>
        <w:rPr>
          <w:rFonts w:hint="default" w:asciiTheme="minorEastAsia" w:hAnsiTheme="minorEastAsia" w:eastAsiaTheme="minorEastAsia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eastAsiaTheme="minorEastAsia"/>
          <w:sz w:val="28"/>
          <w:szCs w:val="28"/>
        </w:rPr>
        <w:t>.采用850地坪研磨机作业，干湿结合。每道工序均须将上一道痕迹覆盖。根据现场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地面</w:t>
      </w:r>
      <w:r>
        <w:rPr>
          <w:rFonts w:hint="eastAsia" w:asciiTheme="minorEastAsia" w:hAnsiTheme="minorEastAsia" w:eastAsiaTheme="minorEastAsia"/>
          <w:sz w:val="28"/>
          <w:szCs w:val="28"/>
        </w:rPr>
        <w:t>平整度、标高等实际情况下磨混凝土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下磨范围约</w:t>
      </w:r>
      <w:r>
        <w:rPr>
          <w:rFonts w:hint="eastAsia" w:asciiTheme="minorEastAsia" w:hAnsiTheme="minorEastAsia" w:eastAsiaTheme="minorEastAsia"/>
          <w:sz w:val="28"/>
          <w:szCs w:val="28"/>
        </w:rPr>
        <w:t>0.5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cm</w:t>
      </w:r>
      <w:r>
        <w:rPr>
          <w:rFonts w:hint="eastAsia" w:asciiTheme="minorEastAsia" w:hAnsiTheme="minorEastAsia" w:eastAsiaTheme="minorEastAsia"/>
          <w:sz w:val="28"/>
          <w:szCs w:val="28"/>
        </w:rPr>
        <w:t>-1cm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），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做好细节</w:t>
      </w:r>
      <w:r>
        <w:rPr>
          <w:rFonts w:hint="eastAsia" w:asciiTheme="minorEastAsia" w:hAnsiTheme="minorEastAsia" w:eastAsiaTheme="minorEastAsia"/>
          <w:sz w:val="28"/>
          <w:szCs w:val="28"/>
        </w:rPr>
        <w:t>修补，确保地面平整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光洁</w:t>
      </w:r>
      <w:r>
        <w:rPr>
          <w:rFonts w:hint="eastAsia" w:asciiTheme="minorEastAsia" w:hAnsiTheme="minorEastAsia" w:eastAsiaTheme="minorEastAsia"/>
          <w:sz w:val="28"/>
          <w:szCs w:val="28"/>
        </w:rPr>
        <w:t>。</w:t>
      </w:r>
    </w:p>
    <w:p w14:paraId="2C18F996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3.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开面打</w:t>
      </w:r>
      <w:r>
        <w:rPr>
          <w:rFonts w:hint="eastAsia" w:asciiTheme="minorEastAsia" w:hAnsiTheme="minorEastAsia" w:eastAsiaTheme="minorEastAsia"/>
          <w:sz w:val="28"/>
          <w:szCs w:val="28"/>
        </w:rPr>
        <w:t>磨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工序应采</w:t>
      </w:r>
      <w:r>
        <w:rPr>
          <w:rFonts w:hint="eastAsia" w:asciiTheme="minorEastAsia" w:hAnsiTheme="minorEastAsia" w:eastAsiaTheme="minorEastAsia"/>
          <w:sz w:val="28"/>
          <w:szCs w:val="28"/>
        </w:rPr>
        <w:t>用金刚石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磨片</w:t>
      </w:r>
      <w:r>
        <w:rPr>
          <w:rFonts w:hint="eastAsia" w:asciiTheme="minorEastAsia" w:hAnsiTheme="minorEastAsia" w:eastAsiaTheme="minorEastAsia"/>
          <w:sz w:val="28"/>
          <w:szCs w:val="28"/>
        </w:rPr>
        <w:t>按纵横路径交叉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打磨，开面打磨工序不得少于4遍，确保</w:t>
      </w:r>
      <w:r>
        <w:rPr>
          <w:rFonts w:hint="eastAsia" w:asciiTheme="minorEastAsia" w:hAnsiTheme="minorEastAsia" w:eastAsiaTheme="minorEastAsia"/>
          <w:sz w:val="28"/>
          <w:szCs w:val="28"/>
        </w:rPr>
        <w:t>混凝土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开面充分</w:t>
      </w:r>
      <w:r>
        <w:rPr>
          <w:rFonts w:hint="eastAsia" w:asciiTheme="minorEastAsia" w:hAnsiTheme="minorEastAsia" w:eastAsiaTheme="minorEastAsia"/>
          <w:sz w:val="28"/>
          <w:szCs w:val="28"/>
        </w:rPr>
        <w:t>。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开面充分后需二次均匀</w:t>
      </w:r>
      <w:r>
        <w:rPr>
          <w:rFonts w:hint="eastAsia" w:asciiTheme="minorEastAsia" w:hAnsiTheme="minorEastAsia" w:eastAsiaTheme="minorEastAsia"/>
          <w:sz w:val="28"/>
          <w:szCs w:val="28"/>
        </w:rPr>
        <w:t>涂覆固化剂，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避免因固化不充分而出现局部破损，影响地坪使用安全。固化充分</w:t>
      </w:r>
      <w:r>
        <w:rPr>
          <w:rFonts w:hint="eastAsia" w:asciiTheme="minorEastAsia" w:hAnsiTheme="minorEastAsia" w:eastAsiaTheme="minorEastAsia"/>
          <w:sz w:val="28"/>
          <w:szCs w:val="28"/>
        </w:rPr>
        <w:t>后，换用树脂磨片按照200目→800目（可根据实际增加中间号数）逐级研磨，累积研磨不得少于1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0</w:t>
      </w:r>
      <w:r>
        <w:rPr>
          <w:rFonts w:hint="eastAsia" w:asciiTheme="minorEastAsia" w:hAnsiTheme="minorEastAsia" w:eastAsiaTheme="minorEastAsia"/>
          <w:sz w:val="28"/>
          <w:szCs w:val="28"/>
        </w:rPr>
        <w:t>遍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。</w:t>
      </w:r>
    </w:p>
    <w:p w14:paraId="4DE78A42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4.收尾工序不低于2000目的树脂抛光垫或软磨片进行高速抛光，整个研磨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过程</w:t>
      </w:r>
      <w:r>
        <w:rPr>
          <w:rFonts w:hint="eastAsia" w:asciiTheme="minorEastAsia" w:hAnsiTheme="minorEastAsia" w:eastAsiaTheme="minorEastAsia"/>
          <w:sz w:val="28"/>
          <w:szCs w:val="28"/>
        </w:rPr>
        <w:t>不得少于2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0</w:t>
      </w:r>
      <w:r>
        <w:rPr>
          <w:rFonts w:hint="eastAsia" w:asciiTheme="minorEastAsia" w:hAnsiTheme="minorEastAsia" w:eastAsiaTheme="minorEastAsia"/>
          <w:sz w:val="28"/>
          <w:szCs w:val="28"/>
        </w:rPr>
        <w:t>遍（含开面、固化前细磨、固化后抛光）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。</w:t>
      </w:r>
      <w:r>
        <w:rPr>
          <w:rFonts w:hint="eastAsia" w:asciiTheme="minorEastAsia" w:hAnsiTheme="minorEastAsia" w:eastAsiaTheme="minorEastAsia"/>
          <w:sz w:val="28"/>
          <w:szCs w:val="28"/>
        </w:rPr>
        <w:t>直至地面呈现均匀、清晰的高光泽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骨料均匀显露，最终表面60°入射角光泽度计测值应达到 ≥80GU，且整体色泽均匀一致。</w:t>
      </w:r>
    </w:p>
    <w:p w14:paraId="675E1036">
      <w:pPr>
        <w:ind w:firstLine="562" w:firstLineChars="200"/>
        <w:rPr>
          <w:rFonts w:hint="eastAsia"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四、</w:t>
      </w:r>
      <w:r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  <w:t>成果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要求</w:t>
      </w:r>
    </w:p>
    <w:p w14:paraId="3FC865E5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1.必须确保冷库生产运营安全，防滑性能须满足以下指标（检测依据JGJ/T331—2014）：干态静摩擦系数≥0.70；湿态摆式摩擦系数（BPN）≥50。若2000目抛光后表面防滑值不满足要求，须在抛光完成后增加专用防滑处理工序（如微纳表面处理或防滑剂轻抛），在保持整体高光美观的前提下，形成微观防滑纹理，不得降低地坪的硬度、密实度和耐久性。</w:t>
      </w:r>
    </w:p>
    <w:p w14:paraId="59380326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2.骨料外露均匀，露骨率≥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/>
          <w:sz w:val="28"/>
          <w:szCs w:val="28"/>
        </w:rPr>
        <w:t>0%，无打磨圈痕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与</w:t>
      </w:r>
      <w:r>
        <w:rPr>
          <w:rFonts w:hint="eastAsia" w:asciiTheme="minorEastAsia" w:hAnsiTheme="minorEastAsia" w:eastAsiaTheme="minorEastAsia"/>
          <w:sz w:val="28"/>
          <w:szCs w:val="28"/>
        </w:rPr>
        <w:t>明显斑块。颜色均匀无白斑、无色差条带。</w:t>
      </w:r>
    </w:p>
    <w:p w14:paraId="153BB4DA">
      <w:pPr>
        <w:ind w:firstLine="560" w:firstLineChars="200"/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3.</w:t>
      </w:r>
      <w:r>
        <w:rPr>
          <w:rFonts w:hint="eastAsia" w:asciiTheme="minorEastAsia" w:hAnsiTheme="minorEastAsia" w:eastAsiaTheme="minorEastAsia"/>
          <w:sz w:val="28"/>
          <w:szCs w:val="28"/>
        </w:rPr>
        <w:t>不得因研磨改变坡向或造成积水。</w:t>
      </w:r>
    </w:p>
    <w:p w14:paraId="4912F6C6">
      <w:pPr>
        <w:ind w:firstLine="562" w:firstLineChars="200"/>
        <w:rPr>
          <w:rFonts w:hint="eastAsia"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五、其他</w:t>
      </w:r>
    </w:p>
    <w:p w14:paraId="443538C7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本标准未尽事宜，按国家、行业及地方现行有关标准规范执行。有条件时，可现场模拟-20 ℃冻融循环试验，完成后应无起壳、空鼓、裂纹，质保期为30天。</w:t>
      </w:r>
    </w:p>
    <w:p w14:paraId="42CA5F96">
      <w:pPr>
        <w:ind w:firstLine="562" w:firstLineChars="200"/>
        <w:rPr>
          <w:rFonts w:hint="eastAsia"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六、验收标准</w:t>
      </w:r>
    </w:p>
    <w:tbl>
      <w:tblPr>
        <w:tblStyle w:val="4"/>
        <w:tblW w:w="947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975"/>
        <w:gridCol w:w="3690"/>
      </w:tblGrid>
      <w:tr w14:paraId="057C32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9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EFBF2">
            <w:pPr>
              <w:widowControl/>
              <w:textAlignment w:val="center"/>
              <w:rPr>
                <w:rFonts w:ascii="宋体" w:hAnsi="宋体" w:cs="宋体"/>
                <w:b/>
                <w:bCs/>
                <w:color w:val="0F1115"/>
                <w:sz w:val="33"/>
                <w:szCs w:val="33"/>
              </w:rPr>
            </w:pPr>
          </w:p>
        </w:tc>
      </w:tr>
      <w:tr w14:paraId="71565E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06643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检验项目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A127F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技术指标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3D20F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检验方法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/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依据</w:t>
            </w:r>
          </w:p>
        </w:tc>
      </w:tr>
      <w:tr w14:paraId="6B4CD5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92938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表面平整度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DBC4C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3m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靠尺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±2mm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F3D8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GB 50209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靠尺与塞尺</w:t>
            </w:r>
          </w:p>
        </w:tc>
      </w:tr>
      <w:tr w14:paraId="797686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0C7A9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骨料外露均匀性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D804E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任意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1m²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露骨率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≥</w:t>
            </w:r>
            <w:r>
              <w:rPr>
                <w:rFonts w:hint="eastAsia" w:ascii="Segoe UI" w:hAnsi="Segoe UI" w:cs="Segoe UI"/>
                <w:color w:val="000000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0%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，无大面积砂浆遮盖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57BCB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目测与样板块对比</w:t>
            </w:r>
          </w:p>
        </w:tc>
      </w:tr>
      <w:tr w14:paraId="70C09B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65CBC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表面光泽度（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60°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21262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≥80 GU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8383A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光泽度仪</w:t>
            </w:r>
          </w:p>
        </w:tc>
      </w:tr>
      <w:tr w14:paraId="14A7F0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jc w:val="center"/>
        </w:trPr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382A0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表面硬度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1C2A6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莫氏硬度提升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≥2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级，或压痕直径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≤3.5mm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72F2A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JC/T 2158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、莫氏硬度笔</w:t>
            </w:r>
          </w:p>
        </w:tc>
      </w:tr>
      <w:tr w14:paraId="0E181B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49D35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防滑性能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EF1D7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干态摩擦系数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≥0.70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，湿态</w:t>
            </w: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BPN≥50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3BA94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eastAsia="Segoe UI" w:cs="Segoe UI"/>
                <w:color w:val="000000"/>
                <w:kern w:val="0"/>
                <w:sz w:val="22"/>
                <w:szCs w:val="22"/>
                <w:lang w:bidi="ar"/>
              </w:rPr>
              <w:t>JGJ/T 331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规定方法</w:t>
            </w:r>
          </w:p>
        </w:tc>
      </w:tr>
      <w:tr w14:paraId="57712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47B6A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auto"/>
                <w:sz w:val="22"/>
                <w:szCs w:val="22"/>
              </w:rPr>
            </w:pPr>
            <w:bookmarkStart w:id="0" w:name="_GoBack" w:colFirst="0" w:colLast="2"/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渗透深度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0E2AF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eastAsia="Segoe UI" w:cs="Segoe UI"/>
                <w:color w:val="auto"/>
                <w:kern w:val="0"/>
                <w:sz w:val="22"/>
                <w:szCs w:val="22"/>
                <w:lang w:bidi="ar"/>
              </w:rPr>
              <w:t>≥3mm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（取芯酚酞试验）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7FEC8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auto"/>
                <w:sz w:val="22"/>
                <w:szCs w:val="22"/>
              </w:rPr>
            </w:pPr>
            <w:r>
              <w:rPr>
                <w:rFonts w:ascii="Segoe UI" w:hAnsi="Segoe UI" w:eastAsia="Segoe UI" w:cs="Segoe UI"/>
                <w:color w:val="auto"/>
                <w:kern w:val="0"/>
                <w:sz w:val="22"/>
                <w:szCs w:val="22"/>
                <w:lang w:bidi="ar"/>
              </w:rPr>
              <w:t>JC/T 2158</w:t>
            </w:r>
          </w:p>
        </w:tc>
      </w:tr>
      <w:bookmarkEnd w:id="0"/>
      <w:tr w14:paraId="6F3D36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41DCC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空鼓、裂纹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08F99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不允许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AF588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敲击、目测</w:t>
            </w:r>
          </w:p>
        </w:tc>
      </w:tr>
      <w:tr w14:paraId="5C829A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AF666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颜色外观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A2F67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均匀一致，无圈痕、无白斑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6F914">
            <w:pPr>
              <w:widowControl/>
              <w:jc w:val="center"/>
              <w:textAlignment w:val="center"/>
              <w:rPr>
                <w:rFonts w:ascii="Segoe UI" w:hAnsi="Segoe UI" w:eastAsia="Segoe UI" w:cs="Segoe UI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目测、比照样板</w:t>
            </w:r>
          </w:p>
        </w:tc>
      </w:tr>
    </w:tbl>
    <w:p w14:paraId="5C5D1C7B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56307524"/>
      <w:docPartObj>
        <w:docPartGallery w:val="autotext"/>
      </w:docPartObj>
    </w:sdtPr>
    <w:sdtContent>
      <w:p w14:paraId="55BA66E8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0755289D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5BE"/>
    <w:rsid w:val="001C37E2"/>
    <w:rsid w:val="001F6265"/>
    <w:rsid w:val="003D3209"/>
    <w:rsid w:val="00442505"/>
    <w:rsid w:val="00453FCF"/>
    <w:rsid w:val="0066134F"/>
    <w:rsid w:val="00691149"/>
    <w:rsid w:val="00832BBA"/>
    <w:rsid w:val="008E2201"/>
    <w:rsid w:val="009F27E6"/>
    <w:rsid w:val="00A125BE"/>
    <w:rsid w:val="00F113CC"/>
    <w:rsid w:val="02D7406D"/>
    <w:rsid w:val="046046C1"/>
    <w:rsid w:val="089A4646"/>
    <w:rsid w:val="0D103128"/>
    <w:rsid w:val="0E8F4521"/>
    <w:rsid w:val="0F7D081D"/>
    <w:rsid w:val="0FED7751"/>
    <w:rsid w:val="10C83D1A"/>
    <w:rsid w:val="1299004B"/>
    <w:rsid w:val="1452666D"/>
    <w:rsid w:val="1A5253FC"/>
    <w:rsid w:val="1CBD66FD"/>
    <w:rsid w:val="21AB121A"/>
    <w:rsid w:val="24F274D1"/>
    <w:rsid w:val="259A582D"/>
    <w:rsid w:val="285100CD"/>
    <w:rsid w:val="294A4C9A"/>
    <w:rsid w:val="2DCD42C6"/>
    <w:rsid w:val="31701B38"/>
    <w:rsid w:val="33792F26"/>
    <w:rsid w:val="35D75AF0"/>
    <w:rsid w:val="38CD161E"/>
    <w:rsid w:val="3C3C0F95"/>
    <w:rsid w:val="3ED731F7"/>
    <w:rsid w:val="3FA550A3"/>
    <w:rsid w:val="3FA63D2F"/>
    <w:rsid w:val="484F3DFE"/>
    <w:rsid w:val="4AB03449"/>
    <w:rsid w:val="4BF54CBC"/>
    <w:rsid w:val="4D331F40"/>
    <w:rsid w:val="50414974"/>
    <w:rsid w:val="53740BBC"/>
    <w:rsid w:val="570010E5"/>
    <w:rsid w:val="57DB56AE"/>
    <w:rsid w:val="59534E81"/>
    <w:rsid w:val="5C050F4B"/>
    <w:rsid w:val="5F2D4A41"/>
    <w:rsid w:val="620F042E"/>
    <w:rsid w:val="62A74C2A"/>
    <w:rsid w:val="648844C8"/>
    <w:rsid w:val="64996585"/>
    <w:rsid w:val="68D67EF7"/>
    <w:rsid w:val="6B8E1734"/>
    <w:rsid w:val="6E7004A6"/>
    <w:rsid w:val="76B1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1198</Words>
  <Characters>1379</Characters>
  <Lines>11</Lines>
  <Paragraphs>3</Paragraphs>
  <TotalTime>4</TotalTime>
  <ScaleCrop>false</ScaleCrop>
  <LinksUpToDate>false</LinksUpToDate>
  <CharactersWithSpaces>1399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2026-08-12T08:53:00Z</dcterms:created>
  <dc:creator>xb21cn</dc:creator>
  <cp:lastModifiedBy>朱勇</cp:lastModifiedBy>
  <dcterms:modified xsi:type="dcterms:W3CDTF">2026-09-11T07:47:51Z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eyJoZGlkIjoiYWU5NzJhNjNiMTMyMTI3NmU0MjgwOTYxNmVlOGY1MGIiLCJ1c2VySWQiOiIxNzY1NjAxNzIyIn0=</vt:lpwstr>
  </property>
  <property fmtid="{D5CDD505-2E9C-101B-9397-08002B2CF9AE}" pid="3" name="KSOProductBuildVer">
    <vt:lpwstr>2052-12.1.0.28505</vt:lpwstr>
  </property>
  <property fmtid="{D5CDD505-2E9C-101B-9397-08002B2CF9AE}" pid="4" name="ICV">
    <vt:lpwstr>76339A4DEDDB4478B72EC9EAE1BDC0A3_13</vt:lpwstr>
  </property>
</Properties>
</file>